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323307" w14:textId="77777777" w:rsidR="00477771" w:rsidRPr="00B012A1" w:rsidRDefault="00DB08B7">
      <w:pPr>
        <w:spacing w:line="360" w:lineRule="auto"/>
        <w:jc w:val="center"/>
        <w:rPr>
          <w:rFonts w:asciiTheme="minorEastAsia" w:eastAsiaTheme="minorEastAsia" w:hAnsiTheme="minorEastAsia"/>
          <w:b/>
          <w:sz w:val="36"/>
          <w:szCs w:val="36"/>
        </w:rPr>
      </w:pPr>
      <w:r w:rsidRPr="00B012A1">
        <w:rPr>
          <w:rFonts w:asciiTheme="minorEastAsia" w:eastAsiaTheme="minorEastAsia" w:hAnsiTheme="minorEastAsia"/>
          <w:b/>
          <w:sz w:val="36"/>
          <w:szCs w:val="36"/>
        </w:rPr>
        <w:t>第三部分  技术需求书</w:t>
      </w:r>
    </w:p>
    <w:p w14:paraId="61A7E76C" w14:textId="77777777" w:rsidR="00477771" w:rsidRPr="00B012A1" w:rsidRDefault="00477771">
      <w:pPr>
        <w:spacing w:line="360" w:lineRule="auto"/>
        <w:jc w:val="left"/>
        <w:rPr>
          <w:rFonts w:asciiTheme="minorEastAsia" w:eastAsiaTheme="minorEastAsia" w:hAnsiTheme="minorEastAsia"/>
          <w:b/>
          <w:sz w:val="28"/>
        </w:rPr>
      </w:pPr>
    </w:p>
    <w:p w14:paraId="01660C5B" w14:textId="77777777" w:rsidR="00477771" w:rsidRPr="00B012A1" w:rsidRDefault="00DB08B7">
      <w:pPr>
        <w:tabs>
          <w:tab w:val="left" w:pos="0"/>
        </w:tabs>
        <w:spacing w:line="360" w:lineRule="auto"/>
        <w:jc w:val="left"/>
        <w:rPr>
          <w:rFonts w:asciiTheme="minorEastAsia" w:eastAsiaTheme="minorEastAsia" w:hAnsiTheme="minorEastAsia"/>
          <w:sz w:val="24"/>
        </w:rPr>
      </w:pPr>
      <w:r w:rsidRPr="00B012A1">
        <w:rPr>
          <w:rFonts w:asciiTheme="minorEastAsia" w:eastAsiaTheme="minorEastAsia" w:hAnsiTheme="minorEastAsia"/>
          <w:b/>
          <w:sz w:val="24"/>
        </w:rPr>
        <w:t>一</w:t>
      </w:r>
      <w:r w:rsidRPr="00B012A1">
        <w:rPr>
          <w:rFonts w:asciiTheme="minorEastAsia" w:eastAsiaTheme="minorEastAsia" w:hAnsiTheme="minorEastAsia" w:hint="eastAsia"/>
          <w:b/>
          <w:sz w:val="24"/>
        </w:rPr>
        <w:t>、</w:t>
      </w:r>
      <w:r w:rsidRPr="00B012A1">
        <w:rPr>
          <w:rFonts w:asciiTheme="minorEastAsia" w:eastAsiaTheme="minorEastAsia" w:hAnsiTheme="minorEastAsia"/>
          <w:b/>
          <w:sz w:val="24"/>
        </w:rPr>
        <w:t>产品名称及数量：</w:t>
      </w:r>
      <w:r w:rsidRPr="00B012A1">
        <w:rPr>
          <w:rFonts w:asciiTheme="minorEastAsia" w:eastAsiaTheme="minorEastAsia" w:hAnsiTheme="minorEastAsia" w:hint="eastAsia"/>
          <w:sz w:val="24"/>
        </w:rPr>
        <w:t>便携式无线近红外功能成像系统</w:t>
      </w:r>
      <w:r w:rsidRPr="00B012A1">
        <w:rPr>
          <w:rFonts w:asciiTheme="minorEastAsia" w:eastAsiaTheme="minorEastAsia" w:hAnsiTheme="minorEastAsia"/>
          <w:sz w:val="24"/>
        </w:rPr>
        <w:t>，1套</w:t>
      </w:r>
    </w:p>
    <w:p w14:paraId="42F4A4AC" w14:textId="53738DD0" w:rsidR="00477771" w:rsidRPr="00B012A1" w:rsidRDefault="00DB08B7">
      <w:pPr>
        <w:spacing w:line="360" w:lineRule="auto"/>
        <w:jc w:val="left"/>
        <w:rPr>
          <w:rFonts w:asciiTheme="minorEastAsia" w:eastAsiaTheme="minorEastAsia" w:hAnsiTheme="minorEastAsia"/>
          <w:b/>
          <w:sz w:val="24"/>
        </w:rPr>
      </w:pPr>
      <w:r w:rsidRPr="00B012A1">
        <w:rPr>
          <w:rFonts w:asciiTheme="minorEastAsia" w:eastAsiaTheme="minorEastAsia" w:hAnsiTheme="minorEastAsia" w:hint="eastAsia"/>
          <w:b/>
          <w:sz w:val="24"/>
        </w:rPr>
        <w:t>*二</w:t>
      </w:r>
      <w:r w:rsidRPr="00B012A1">
        <w:rPr>
          <w:rFonts w:asciiTheme="minorEastAsia" w:eastAsiaTheme="minorEastAsia" w:hAnsiTheme="minorEastAsia"/>
          <w:b/>
          <w:sz w:val="24"/>
        </w:rPr>
        <w:t>、</w:t>
      </w:r>
      <w:r w:rsidRPr="00B012A1">
        <w:rPr>
          <w:rFonts w:asciiTheme="minorEastAsia" w:eastAsiaTheme="minorEastAsia" w:hAnsiTheme="minorEastAsia" w:hint="eastAsia"/>
          <w:b/>
          <w:sz w:val="24"/>
        </w:rPr>
        <w:t>交货期：</w:t>
      </w:r>
      <w:r w:rsidRPr="00B012A1">
        <w:rPr>
          <w:rFonts w:asciiTheme="minorEastAsia" w:eastAsiaTheme="minorEastAsia" w:hAnsiTheme="minorEastAsia" w:hint="eastAsia"/>
          <w:sz w:val="24"/>
        </w:rPr>
        <w:t>合同签订后9</w:t>
      </w:r>
      <w:r w:rsidRPr="00B012A1">
        <w:rPr>
          <w:rFonts w:asciiTheme="minorEastAsia" w:eastAsiaTheme="minorEastAsia" w:hAnsiTheme="minorEastAsia"/>
          <w:sz w:val="24"/>
        </w:rPr>
        <w:t>0</w:t>
      </w:r>
      <w:r w:rsidRPr="00B012A1">
        <w:rPr>
          <w:rFonts w:asciiTheme="minorEastAsia" w:eastAsiaTheme="minorEastAsia" w:hAnsiTheme="minorEastAsia" w:hint="eastAsia"/>
          <w:sz w:val="24"/>
        </w:rPr>
        <w:t>天内</w:t>
      </w:r>
    </w:p>
    <w:p w14:paraId="40186522" w14:textId="77777777" w:rsidR="00477771" w:rsidRPr="00B012A1" w:rsidRDefault="00DB08B7">
      <w:pPr>
        <w:spacing w:line="360" w:lineRule="auto"/>
        <w:jc w:val="left"/>
        <w:rPr>
          <w:rFonts w:asciiTheme="minorEastAsia" w:eastAsiaTheme="minorEastAsia" w:hAnsiTheme="minorEastAsia"/>
          <w:b/>
          <w:sz w:val="24"/>
        </w:rPr>
      </w:pPr>
      <w:r w:rsidRPr="00B012A1">
        <w:rPr>
          <w:rFonts w:asciiTheme="minorEastAsia" w:eastAsiaTheme="minorEastAsia" w:hAnsiTheme="minorEastAsia"/>
          <w:b/>
          <w:sz w:val="24"/>
        </w:rPr>
        <w:t>三</w:t>
      </w:r>
      <w:r w:rsidRPr="00B012A1">
        <w:rPr>
          <w:rFonts w:asciiTheme="minorEastAsia" w:eastAsiaTheme="minorEastAsia" w:hAnsiTheme="minorEastAsia" w:hint="eastAsia"/>
          <w:b/>
          <w:sz w:val="24"/>
        </w:rPr>
        <w:t>、</w:t>
      </w:r>
      <w:r w:rsidRPr="00B012A1">
        <w:rPr>
          <w:rFonts w:asciiTheme="minorEastAsia" w:eastAsiaTheme="minorEastAsia" w:hAnsiTheme="minorEastAsia"/>
          <w:b/>
          <w:sz w:val="24"/>
        </w:rPr>
        <w:t>技术要求：</w:t>
      </w:r>
    </w:p>
    <w:p w14:paraId="4968D58D" w14:textId="13144094" w:rsidR="00477771" w:rsidRPr="00B012A1" w:rsidRDefault="00DB08B7">
      <w:pPr>
        <w:tabs>
          <w:tab w:val="left" w:pos="900"/>
        </w:tabs>
        <w:spacing w:line="360" w:lineRule="auto"/>
        <w:ind w:firstLineChars="177" w:firstLine="425"/>
        <w:rPr>
          <w:rFonts w:asciiTheme="minorEastAsia" w:eastAsiaTheme="minorEastAsia" w:hAnsiTheme="minorEastAsia"/>
          <w:sz w:val="24"/>
        </w:rPr>
      </w:pPr>
      <w:r w:rsidRPr="00B012A1">
        <w:rPr>
          <w:rFonts w:ascii="宋体" w:hAnsi="宋体" w:hint="eastAsia"/>
          <w:sz w:val="24"/>
        </w:rPr>
        <w:t>*</w:t>
      </w:r>
      <w:r w:rsidRPr="00B012A1">
        <w:rPr>
          <w:rFonts w:asciiTheme="minorEastAsia" w:eastAsiaTheme="minorEastAsia" w:hAnsiTheme="minorEastAsia" w:hint="eastAsia"/>
          <w:sz w:val="24"/>
        </w:rPr>
        <w:t>1.高度便携的可穿戴式设备，无需硬件设置，佩戴即可进行数据采集。设备除脑部血氧监测外，还支持调整为≥8个通道的肌肉血氧监测设备。</w:t>
      </w:r>
    </w:p>
    <w:p w14:paraId="55D56F2B" w14:textId="0AFE2ECF" w:rsidR="00477771" w:rsidRPr="00B012A1" w:rsidRDefault="00DB08B7">
      <w:pPr>
        <w:tabs>
          <w:tab w:val="left" w:pos="900"/>
        </w:tabs>
        <w:spacing w:line="360" w:lineRule="auto"/>
        <w:ind w:firstLineChars="177" w:firstLine="425"/>
        <w:rPr>
          <w:rFonts w:asciiTheme="minorEastAsia" w:eastAsiaTheme="minorEastAsia" w:hAnsiTheme="minorEastAsia"/>
          <w:sz w:val="24"/>
        </w:rPr>
      </w:pPr>
      <w:r w:rsidRPr="00B012A1">
        <w:rPr>
          <w:rFonts w:ascii="宋体" w:hAnsi="宋体" w:hint="eastAsia"/>
          <w:sz w:val="24"/>
        </w:rPr>
        <w:t>*</w:t>
      </w:r>
      <w:r w:rsidRPr="00B012A1">
        <w:rPr>
          <w:rFonts w:asciiTheme="minorEastAsia" w:eastAsiaTheme="minorEastAsia" w:hAnsiTheme="minorEastAsia" w:hint="eastAsia"/>
          <w:sz w:val="24"/>
        </w:rPr>
        <w:t>2.设备配置≥8个高质量的近红外测量通道，最大采样率：≥50Hz。</w:t>
      </w:r>
    </w:p>
    <w:p w14:paraId="7816B982" w14:textId="545661C9" w:rsidR="00477771" w:rsidRPr="00B012A1" w:rsidRDefault="00DB08B7">
      <w:pPr>
        <w:tabs>
          <w:tab w:val="left" w:pos="900"/>
        </w:tabs>
        <w:spacing w:line="360" w:lineRule="auto"/>
        <w:ind w:firstLineChars="177" w:firstLine="425"/>
        <w:rPr>
          <w:rFonts w:asciiTheme="minorEastAsia" w:eastAsiaTheme="minorEastAsia" w:hAnsiTheme="minorEastAsia"/>
          <w:sz w:val="24"/>
        </w:rPr>
      </w:pPr>
      <w:r w:rsidRPr="00B012A1">
        <w:rPr>
          <w:rFonts w:ascii="宋体" w:hAnsi="宋体" w:hint="eastAsia"/>
          <w:sz w:val="24"/>
        </w:rPr>
        <w:t>#</w:t>
      </w:r>
      <w:r w:rsidRPr="00B012A1">
        <w:rPr>
          <w:rFonts w:asciiTheme="minorEastAsia" w:eastAsiaTheme="minorEastAsia" w:hAnsiTheme="minorEastAsia" w:hint="eastAsia"/>
          <w:sz w:val="24"/>
        </w:rPr>
        <w:t>3.光源：发光二极管：8x2波长。 标准波长为760和850nm（更大范围可调节）。集成了环境光保护的光电二极管。</w:t>
      </w:r>
    </w:p>
    <w:p w14:paraId="1AD797DB" w14:textId="10F24AC4" w:rsidR="00477771" w:rsidRPr="00B012A1" w:rsidRDefault="00DB08B7">
      <w:pPr>
        <w:tabs>
          <w:tab w:val="left" w:pos="900"/>
        </w:tabs>
        <w:spacing w:line="360" w:lineRule="auto"/>
        <w:ind w:firstLineChars="177" w:firstLine="425"/>
        <w:rPr>
          <w:rFonts w:asciiTheme="minorEastAsia" w:eastAsiaTheme="minorEastAsia" w:hAnsiTheme="minorEastAsia"/>
          <w:sz w:val="24"/>
        </w:rPr>
      </w:pPr>
      <w:r w:rsidRPr="00B012A1">
        <w:rPr>
          <w:rFonts w:ascii="宋体" w:hAnsi="宋体" w:hint="eastAsia"/>
          <w:sz w:val="24"/>
        </w:rPr>
        <w:t>#</w:t>
      </w:r>
      <w:r w:rsidRPr="00B012A1">
        <w:rPr>
          <w:rFonts w:asciiTheme="minorEastAsia" w:eastAsiaTheme="minorEastAsia" w:hAnsiTheme="minorEastAsia" w:hint="eastAsia"/>
          <w:sz w:val="24"/>
        </w:rPr>
        <w:t>4.支持添加短距通道，可采集包括头骨、头皮血流、血压、呼吸和心率等脑外噪声。通过移除这些数据，将噪声降到最低。</w:t>
      </w:r>
    </w:p>
    <w:p w14:paraId="5BE96820" w14:textId="3A2B0683" w:rsidR="00477771" w:rsidRPr="00B012A1" w:rsidRDefault="00DB08B7">
      <w:pPr>
        <w:tabs>
          <w:tab w:val="left" w:pos="900"/>
        </w:tabs>
        <w:spacing w:line="360" w:lineRule="auto"/>
        <w:ind w:firstLineChars="177" w:firstLine="425"/>
        <w:rPr>
          <w:rFonts w:asciiTheme="minorEastAsia" w:eastAsiaTheme="minorEastAsia" w:hAnsiTheme="minorEastAsia"/>
          <w:sz w:val="24"/>
        </w:rPr>
      </w:pPr>
      <w:r w:rsidRPr="00B012A1">
        <w:rPr>
          <w:rFonts w:ascii="宋体" w:hAnsi="宋体" w:hint="eastAsia"/>
          <w:sz w:val="24"/>
        </w:rPr>
        <w:t>#</w:t>
      </w:r>
      <w:r w:rsidRPr="00B012A1">
        <w:rPr>
          <w:rFonts w:asciiTheme="minorEastAsia" w:eastAsiaTheme="minorEastAsia" w:hAnsiTheme="minorEastAsia" w:hint="eastAsia"/>
          <w:sz w:val="24"/>
        </w:rPr>
        <w:t>5.用于在线采集的蓝牙连接（最大接收距离≥100米），也支持离线测量。</w:t>
      </w:r>
    </w:p>
    <w:p w14:paraId="244C7CFA" w14:textId="1FA5AA1B" w:rsidR="00477771" w:rsidRPr="00B012A1" w:rsidRDefault="00DB08B7">
      <w:pPr>
        <w:tabs>
          <w:tab w:val="left" w:pos="900"/>
        </w:tabs>
        <w:spacing w:line="360" w:lineRule="auto"/>
        <w:ind w:firstLineChars="177" w:firstLine="425"/>
        <w:rPr>
          <w:rFonts w:asciiTheme="minorEastAsia" w:eastAsiaTheme="minorEastAsia" w:hAnsiTheme="minorEastAsia"/>
          <w:sz w:val="24"/>
        </w:rPr>
      </w:pPr>
      <w:r w:rsidRPr="00B012A1">
        <w:rPr>
          <w:rFonts w:ascii="宋体" w:hAnsi="宋体" w:hint="eastAsia"/>
          <w:sz w:val="24"/>
        </w:rPr>
        <w:t>#</w:t>
      </w:r>
      <w:r w:rsidRPr="00B012A1">
        <w:rPr>
          <w:rFonts w:asciiTheme="minorEastAsia" w:eastAsiaTheme="minorEastAsia" w:hAnsiTheme="minorEastAsia" w:hint="eastAsia"/>
          <w:sz w:val="24"/>
        </w:rPr>
        <w:t>6.噪声：测量频率为10Hz，光密度为5时，光密度标准方差约0.001。</w:t>
      </w:r>
    </w:p>
    <w:p w14:paraId="25634522" w14:textId="77777777" w:rsidR="00477771" w:rsidRPr="00B012A1" w:rsidRDefault="00DB08B7">
      <w:pPr>
        <w:tabs>
          <w:tab w:val="left" w:pos="900"/>
        </w:tabs>
        <w:spacing w:line="360" w:lineRule="auto"/>
        <w:ind w:firstLineChars="177" w:firstLine="425"/>
        <w:rPr>
          <w:rFonts w:asciiTheme="minorEastAsia" w:eastAsiaTheme="minorEastAsia" w:hAnsiTheme="minorEastAsia"/>
          <w:sz w:val="24"/>
        </w:rPr>
      </w:pPr>
      <w:r w:rsidRPr="00B012A1">
        <w:rPr>
          <w:rFonts w:asciiTheme="minorEastAsia" w:eastAsiaTheme="minorEastAsia" w:hAnsiTheme="minorEastAsia" w:hint="eastAsia"/>
          <w:sz w:val="24"/>
        </w:rPr>
        <w:t>7.配备可随时更换和充电的电池，供电时间≥8小时，保证长时间不中断的脑血氧监测。</w:t>
      </w:r>
    </w:p>
    <w:p w14:paraId="6C5FF9AC" w14:textId="317B9178" w:rsidR="00477771" w:rsidRPr="00B012A1" w:rsidRDefault="00DB08B7">
      <w:pPr>
        <w:tabs>
          <w:tab w:val="left" w:pos="900"/>
        </w:tabs>
        <w:spacing w:line="360" w:lineRule="auto"/>
        <w:ind w:firstLineChars="177" w:firstLine="425"/>
        <w:rPr>
          <w:rFonts w:asciiTheme="minorEastAsia" w:eastAsiaTheme="minorEastAsia" w:hAnsiTheme="minorEastAsia"/>
          <w:sz w:val="24"/>
        </w:rPr>
      </w:pPr>
      <w:r w:rsidRPr="00B012A1">
        <w:rPr>
          <w:rFonts w:ascii="宋体" w:hAnsi="宋体" w:hint="eastAsia"/>
          <w:sz w:val="24"/>
        </w:rPr>
        <w:t>*</w:t>
      </w:r>
      <w:r w:rsidRPr="00B012A1">
        <w:rPr>
          <w:rFonts w:asciiTheme="minorEastAsia" w:eastAsiaTheme="minorEastAsia" w:hAnsiTheme="minorEastAsia" w:hint="eastAsia"/>
          <w:sz w:val="24"/>
        </w:rPr>
        <w:t>8.设备重量轻便，整体重量包含电池≤230g，适用于室内和户外各种静态或运动环境下进行的脑血氧监测。</w:t>
      </w:r>
    </w:p>
    <w:p w14:paraId="38FA30E6" w14:textId="77777777" w:rsidR="00477771" w:rsidRPr="00B012A1" w:rsidRDefault="00DB08B7">
      <w:pPr>
        <w:tabs>
          <w:tab w:val="left" w:pos="900"/>
        </w:tabs>
        <w:spacing w:line="360" w:lineRule="auto"/>
        <w:ind w:firstLineChars="177" w:firstLine="425"/>
        <w:rPr>
          <w:rFonts w:asciiTheme="minorEastAsia" w:eastAsiaTheme="minorEastAsia" w:hAnsiTheme="minorEastAsia"/>
          <w:sz w:val="24"/>
        </w:rPr>
      </w:pPr>
      <w:r w:rsidRPr="00B012A1">
        <w:rPr>
          <w:rFonts w:asciiTheme="minorEastAsia" w:eastAsiaTheme="minorEastAsia" w:hAnsiTheme="minorEastAsia" w:hint="eastAsia"/>
          <w:sz w:val="24"/>
        </w:rPr>
        <w:t>9.数据采集软件可在测量设置过程中选择同步连接多个同类型近红外设备，选择或定义光极模版，并对采样率、光极间距等参数进行设置调节。</w:t>
      </w:r>
    </w:p>
    <w:p w14:paraId="7132B34E" w14:textId="4C204C93" w:rsidR="00477771" w:rsidRPr="00B012A1" w:rsidRDefault="00DB08B7">
      <w:pPr>
        <w:tabs>
          <w:tab w:val="left" w:pos="900"/>
        </w:tabs>
        <w:spacing w:line="360" w:lineRule="auto"/>
        <w:ind w:firstLineChars="177" w:firstLine="425"/>
        <w:rPr>
          <w:rFonts w:asciiTheme="minorEastAsia" w:eastAsiaTheme="minorEastAsia" w:hAnsiTheme="minorEastAsia"/>
          <w:sz w:val="24"/>
        </w:rPr>
      </w:pPr>
      <w:r w:rsidRPr="00B012A1">
        <w:rPr>
          <w:rFonts w:ascii="宋体" w:hAnsi="宋体" w:hint="eastAsia"/>
          <w:sz w:val="24"/>
        </w:rPr>
        <w:t>#</w:t>
      </w:r>
      <w:r w:rsidRPr="00B012A1">
        <w:rPr>
          <w:rFonts w:asciiTheme="minorEastAsia" w:eastAsiaTheme="minorEastAsia" w:hAnsiTheme="minorEastAsia" w:hint="eastAsia"/>
          <w:sz w:val="24"/>
        </w:rPr>
        <w:t>10.数据采集分析软件可同步采集来自4到8名被试的脑成像数据；在3D模式中实时处理近红外数据。</w:t>
      </w:r>
    </w:p>
    <w:p w14:paraId="771B32E0" w14:textId="77777777" w:rsidR="00477771" w:rsidRPr="00B012A1" w:rsidRDefault="00DB08B7">
      <w:pPr>
        <w:tabs>
          <w:tab w:val="left" w:pos="900"/>
        </w:tabs>
        <w:spacing w:line="360" w:lineRule="auto"/>
        <w:ind w:firstLineChars="177" w:firstLine="425"/>
        <w:rPr>
          <w:rFonts w:asciiTheme="minorEastAsia" w:eastAsiaTheme="minorEastAsia" w:hAnsiTheme="minorEastAsia"/>
          <w:sz w:val="24"/>
        </w:rPr>
      </w:pPr>
      <w:r w:rsidRPr="00B012A1">
        <w:rPr>
          <w:rFonts w:asciiTheme="minorEastAsia" w:eastAsiaTheme="minorEastAsia" w:hAnsiTheme="minorEastAsia" w:hint="eastAsia"/>
          <w:sz w:val="24"/>
        </w:rPr>
        <w:t>11.软件的数据采集窗口可以图形形式进行监测每个通道的连接状态及其不同波长对应的信号质量，并以百分比形式显示光强数值。</w:t>
      </w:r>
    </w:p>
    <w:p w14:paraId="697BC431" w14:textId="77777777" w:rsidR="00477771" w:rsidRPr="00B012A1" w:rsidRDefault="00DB08B7">
      <w:pPr>
        <w:tabs>
          <w:tab w:val="left" w:pos="900"/>
        </w:tabs>
        <w:spacing w:line="360" w:lineRule="auto"/>
        <w:ind w:firstLineChars="177" w:firstLine="425"/>
        <w:rPr>
          <w:rFonts w:asciiTheme="minorEastAsia" w:eastAsiaTheme="minorEastAsia" w:hAnsiTheme="minorEastAsia"/>
          <w:sz w:val="24"/>
        </w:rPr>
      </w:pPr>
      <w:r w:rsidRPr="00B012A1">
        <w:rPr>
          <w:rFonts w:asciiTheme="minorEastAsia" w:eastAsiaTheme="minorEastAsia" w:hAnsiTheme="minorEastAsia" w:hint="eastAsia"/>
          <w:sz w:val="24"/>
        </w:rPr>
        <w:t>12.数据采集分析软件可直接采集并实时显示人体组织中的氧合血红蛋白、脱氧血红蛋白、总血红蛋白及血红蛋白变化情况、运动方位等数据及其图表。每个通道的数据有独立的窗口，也能在一个窗口显示多个通道的数据。</w:t>
      </w:r>
    </w:p>
    <w:p w14:paraId="4C227FB7" w14:textId="0E2675E7" w:rsidR="00477771" w:rsidRPr="00B012A1" w:rsidRDefault="00DB08B7">
      <w:pPr>
        <w:tabs>
          <w:tab w:val="left" w:pos="900"/>
        </w:tabs>
        <w:spacing w:line="360" w:lineRule="auto"/>
        <w:ind w:firstLineChars="177" w:firstLine="425"/>
        <w:rPr>
          <w:rFonts w:asciiTheme="minorEastAsia" w:eastAsiaTheme="minorEastAsia" w:hAnsiTheme="minorEastAsia"/>
          <w:sz w:val="24"/>
        </w:rPr>
      </w:pPr>
      <w:r w:rsidRPr="00B012A1">
        <w:rPr>
          <w:rFonts w:ascii="宋体" w:hAnsi="宋体" w:hint="eastAsia"/>
          <w:sz w:val="24"/>
        </w:rPr>
        <w:t>*</w:t>
      </w:r>
      <w:r w:rsidRPr="00B012A1">
        <w:rPr>
          <w:rFonts w:asciiTheme="minorEastAsia" w:eastAsiaTheme="minorEastAsia" w:hAnsiTheme="minorEastAsia" w:hint="eastAsia"/>
          <w:sz w:val="24"/>
        </w:rPr>
        <w:t>13.数据采集过程中和采集完成后，可以在时间轴上追踪查看血红蛋白浓度曲线上任一点的数据值，可以实时查看血红蛋白浓度的时域、频域、空间域</w:t>
      </w:r>
      <w:r w:rsidRPr="00B012A1">
        <w:rPr>
          <w:rFonts w:asciiTheme="minorEastAsia" w:eastAsiaTheme="minorEastAsia" w:hAnsiTheme="minorEastAsia" w:hint="eastAsia"/>
          <w:sz w:val="24"/>
        </w:rPr>
        <w:lastRenderedPageBreak/>
        <w:t>（二维或三维脑地形图）数值和图形，光密度变化等数据信息。数据采集完成后，能在时间轴上选取不同时间窗的图像数据，进行回放、放大、缩小。系统软件可生成标记事件，并对事件进行描述。</w:t>
      </w:r>
    </w:p>
    <w:p w14:paraId="628A693E" w14:textId="7485D1DE" w:rsidR="00477771" w:rsidRPr="00B012A1" w:rsidRDefault="00DB08B7">
      <w:pPr>
        <w:tabs>
          <w:tab w:val="left" w:pos="900"/>
        </w:tabs>
        <w:spacing w:line="360" w:lineRule="auto"/>
        <w:ind w:firstLineChars="177" w:firstLine="425"/>
        <w:rPr>
          <w:rFonts w:asciiTheme="minorEastAsia" w:eastAsiaTheme="minorEastAsia" w:hAnsiTheme="minorEastAsia"/>
          <w:sz w:val="24"/>
        </w:rPr>
      </w:pPr>
      <w:r w:rsidRPr="00B012A1">
        <w:rPr>
          <w:rFonts w:ascii="宋体" w:hAnsi="宋体" w:hint="eastAsia"/>
          <w:sz w:val="24"/>
        </w:rPr>
        <w:t>#</w:t>
      </w:r>
      <w:r w:rsidRPr="00B012A1">
        <w:rPr>
          <w:rFonts w:asciiTheme="minorEastAsia" w:eastAsiaTheme="minorEastAsia" w:hAnsiTheme="minorEastAsia" w:hint="eastAsia"/>
          <w:sz w:val="24"/>
        </w:rPr>
        <w:t>14.数据采集软件可注册为计算机组分软件直接接收MATLAB发送的信号标记，进行全自动事件标记，并对事件进行描述，无需另配第二台刺激呈现电脑。可通过外接信号输入输出装置接受来自Eprime，Matlab等刺激呈现软件的信号标记。</w:t>
      </w:r>
    </w:p>
    <w:p w14:paraId="242A5E5E" w14:textId="77777777" w:rsidR="00477771" w:rsidRPr="00B012A1" w:rsidRDefault="00DB08B7">
      <w:pPr>
        <w:tabs>
          <w:tab w:val="left" w:pos="900"/>
        </w:tabs>
        <w:spacing w:line="360" w:lineRule="auto"/>
        <w:ind w:firstLineChars="177" w:firstLine="425"/>
        <w:rPr>
          <w:rFonts w:asciiTheme="minorEastAsia" w:eastAsiaTheme="minorEastAsia" w:hAnsiTheme="minorEastAsia"/>
          <w:sz w:val="24"/>
        </w:rPr>
      </w:pPr>
      <w:r w:rsidRPr="00B012A1">
        <w:rPr>
          <w:rFonts w:asciiTheme="minorEastAsia" w:eastAsiaTheme="minorEastAsia" w:hAnsiTheme="minorEastAsia" w:hint="eastAsia"/>
          <w:sz w:val="24"/>
        </w:rPr>
        <w:t>15.在数据采集过程和采集完成后可进行多种分析处理。可在系统软件内对数据向下取样和过滤，可用的滤波方式包括: 低通、高通、带通、高斯、滑动平均、带阻和RMS带通；手动选择时间窗和事件，可以执行单一信号计算，或者一次测量的多图形中多信号计算。差异值、最小值、最大值、平均值、均值、标准差、线性回归分析、曲线下面积、氧气消耗速率、血流和静脉饱和度等都可在选定时间窗内进行计算；也可实现事件相关近红外信号的叠加平均处理，并在图形中显示叠加平均的标准偏差。</w:t>
      </w:r>
    </w:p>
    <w:p w14:paraId="08730A01" w14:textId="77777777" w:rsidR="00477771" w:rsidRPr="00B012A1" w:rsidRDefault="00DB08B7">
      <w:pPr>
        <w:tabs>
          <w:tab w:val="left" w:pos="900"/>
        </w:tabs>
        <w:spacing w:line="360" w:lineRule="auto"/>
        <w:ind w:firstLineChars="177" w:firstLine="425"/>
        <w:rPr>
          <w:rFonts w:asciiTheme="minorEastAsia" w:eastAsiaTheme="minorEastAsia" w:hAnsiTheme="minorEastAsia"/>
          <w:sz w:val="24"/>
        </w:rPr>
      </w:pPr>
      <w:r w:rsidRPr="00B012A1">
        <w:rPr>
          <w:rFonts w:asciiTheme="minorEastAsia" w:eastAsiaTheme="minorEastAsia" w:hAnsiTheme="minorEastAsia" w:hint="eastAsia"/>
          <w:sz w:val="24"/>
        </w:rPr>
        <w:t>16.数据经系统分析软件导出后，可经由自带的专用函数接口直接导入到MATLAB中做进一步的分析处理，并可经fnirs-SPM、Homer2、Fieldtrip等通用近红外数据分析工具包处理导出的数据。</w:t>
      </w:r>
    </w:p>
    <w:p w14:paraId="40537146" w14:textId="1A1889BF" w:rsidR="00477771" w:rsidRPr="00B012A1" w:rsidRDefault="00DB08B7">
      <w:pPr>
        <w:tabs>
          <w:tab w:val="left" w:pos="900"/>
        </w:tabs>
        <w:spacing w:line="360" w:lineRule="auto"/>
        <w:ind w:firstLineChars="177" w:firstLine="425"/>
        <w:rPr>
          <w:rFonts w:asciiTheme="minorEastAsia" w:eastAsiaTheme="minorEastAsia" w:hAnsiTheme="minorEastAsia"/>
          <w:sz w:val="24"/>
        </w:rPr>
      </w:pPr>
      <w:r w:rsidRPr="00B012A1">
        <w:rPr>
          <w:rFonts w:ascii="宋体" w:hAnsi="宋体" w:hint="eastAsia"/>
          <w:sz w:val="24"/>
        </w:rPr>
        <w:t>#</w:t>
      </w:r>
      <w:r w:rsidRPr="00B012A1">
        <w:rPr>
          <w:rFonts w:asciiTheme="minorEastAsia" w:eastAsiaTheme="minorEastAsia" w:hAnsiTheme="minorEastAsia" w:hint="eastAsia"/>
          <w:sz w:val="24"/>
        </w:rPr>
        <w:t>17.除血氧外数据采集分析软件具备同步采集脑电和肌电等电生理数据的功能。</w:t>
      </w:r>
    </w:p>
    <w:p w14:paraId="5C2D6B03" w14:textId="2FF7A521" w:rsidR="00477771" w:rsidRPr="00B012A1" w:rsidRDefault="00DB08B7">
      <w:pPr>
        <w:tabs>
          <w:tab w:val="left" w:pos="900"/>
        </w:tabs>
        <w:spacing w:line="360" w:lineRule="auto"/>
        <w:ind w:firstLineChars="177" w:firstLine="425"/>
        <w:rPr>
          <w:rFonts w:asciiTheme="minorEastAsia" w:eastAsiaTheme="minorEastAsia" w:hAnsiTheme="minorEastAsia"/>
          <w:sz w:val="24"/>
        </w:rPr>
      </w:pPr>
      <w:r w:rsidRPr="00B012A1">
        <w:rPr>
          <w:rFonts w:ascii="宋体" w:hAnsi="宋体" w:hint="eastAsia"/>
          <w:sz w:val="24"/>
        </w:rPr>
        <w:t>*</w:t>
      </w:r>
      <w:r w:rsidRPr="00B012A1">
        <w:rPr>
          <w:rFonts w:asciiTheme="minorEastAsia" w:eastAsiaTheme="minorEastAsia" w:hAnsiTheme="minorEastAsia" w:hint="eastAsia"/>
          <w:sz w:val="24"/>
        </w:rPr>
        <w:t>18.软件可以在一个数据流中组合不同的近红外设备（如激光光源型近红外脑成像设备、全脑便携型近红外设备）提供免费的软件开发包用以在MATLAB中实时读取底层数据，从而实现神经反馈或脑机接口等实验需求。</w:t>
      </w:r>
    </w:p>
    <w:p w14:paraId="25BB7236" w14:textId="4A86A141" w:rsidR="00477771" w:rsidRPr="00B012A1" w:rsidRDefault="00DB08B7">
      <w:pPr>
        <w:tabs>
          <w:tab w:val="left" w:pos="900"/>
        </w:tabs>
        <w:spacing w:line="360" w:lineRule="auto"/>
        <w:ind w:firstLineChars="177" w:firstLine="425"/>
        <w:rPr>
          <w:rFonts w:asciiTheme="minorEastAsia" w:eastAsiaTheme="minorEastAsia" w:hAnsiTheme="minorEastAsia"/>
          <w:sz w:val="24"/>
        </w:rPr>
      </w:pPr>
      <w:r w:rsidRPr="00B012A1">
        <w:rPr>
          <w:rFonts w:ascii="宋体" w:hAnsi="宋体" w:hint="eastAsia"/>
          <w:sz w:val="24"/>
        </w:rPr>
        <w:t>#</w:t>
      </w:r>
      <w:r w:rsidRPr="00B012A1">
        <w:rPr>
          <w:rFonts w:asciiTheme="minorEastAsia" w:eastAsiaTheme="minorEastAsia" w:hAnsiTheme="minorEastAsia" w:hint="eastAsia"/>
          <w:sz w:val="24"/>
        </w:rPr>
        <w:t>19.软件实时提供氧合、脱氧、总血红蛋白的计算，在3D中实时处理近红外数据，可自动保存采集过程中的3D视频文件。</w:t>
      </w:r>
    </w:p>
    <w:p w14:paraId="1C66A53E" w14:textId="77777777" w:rsidR="00477771" w:rsidRPr="00B012A1" w:rsidRDefault="00477771">
      <w:pPr>
        <w:tabs>
          <w:tab w:val="left" w:pos="900"/>
        </w:tabs>
        <w:spacing w:line="360" w:lineRule="auto"/>
        <w:rPr>
          <w:rFonts w:asciiTheme="minorEastAsia" w:eastAsiaTheme="minorEastAsia" w:hAnsiTheme="minorEastAsia"/>
          <w:sz w:val="24"/>
        </w:rPr>
      </w:pPr>
    </w:p>
    <w:p w14:paraId="28DDFA77" w14:textId="77777777" w:rsidR="00477771" w:rsidRPr="00B012A1" w:rsidRDefault="00DB08B7">
      <w:pPr>
        <w:tabs>
          <w:tab w:val="left" w:pos="900"/>
        </w:tabs>
        <w:spacing w:line="360" w:lineRule="auto"/>
        <w:rPr>
          <w:rFonts w:ascii="宋体" w:hAnsi="宋体"/>
          <w:b/>
          <w:bCs/>
          <w:sz w:val="24"/>
        </w:rPr>
      </w:pPr>
      <w:r w:rsidRPr="00B012A1">
        <w:rPr>
          <w:rFonts w:ascii="宋体" w:hAnsi="宋体" w:hint="eastAsia"/>
          <w:b/>
          <w:sz w:val="24"/>
        </w:rPr>
        <w:t>四、</w:t>
      </w:r>
      <w:r w:rsidRPr="00B012A1">
        <w:rPr>
          <w:rFonts w:ascii="宋体" w:hAnsi="宋体" w:hint="eastAsia"/>
          <w:b/>
          <w:bCs/>
          <w:sz w:val="24"/>
        </w:rPr>
        <w:t>安装、调试、培训、保修期要求：</w:t>
      </w:r>
    </w:p>
    <w:p w14:paraId="7E9D7D24" w14:textId="77777777" w:rsidR="00477771" w:rsidRPr="00B012A1" w:rsidRDefault="00DB08B7">
      <w:pPr>
        <w:spacing w:line="360" w:lineRule="auto"/>
        <w:rPr>
          <w:rFonts w:ascii="宋体"/>
          <w:sz w:val="24"/>
        </w:rPr>
      </w:pPr>
      <w:r w:rsidRPr="00B012A1">
        <w:rPr>
          <w:rFonts w:ascii="宋体" w:hint="eastAsia"/>
          <w:sz w:val="24"/>
        </w:rPr>
        <w:t>1、</w:t>
      </w:r>
      <w:r w:rsidRPr="00B012A1">
        <w:rPr>
          <w:rFonts w:ascii="宋体" w:cs="宋体" w:hint="eastAsia"/>
          <w:sz w:val="24"/>
          <w:lang w:val="zh-CN"/>
        </w:rPr>
        <w:t>设备到达采购人（用户）现场，中标人须在采购人（用户）技术人员在场情况下共同进行现场验货。在接到采购人（用户）安装调试通知后，保证安排有经验的工程技术人员到用户现场安装、调试仪器。</w:t>
      </w:r>
    </w:p>
    <w:p w14:paraId="7AD6D59F" w14:textId="77777777" w:rsidR="00477771" w:rsidRPr="00B012A1" w:rsidRDefault="00DB08B7">
      <w:pPr>
        <w:spacing w:line="360" w:lineRule="auto"/>
        <w:rPr>
          <w:rFonts w:ascii="宋体"/>
          <w:sz w:val="24"/>
        </w:rPr>
      </w:pPr>
      <w:r w:rsidRPr="00B012A1">
        <w:rPr>
          <w:rFonts w:ascii="宋体" w:hint="eastAsia"/>
          <w:sz w:val="24"/>
        </w:rPr>
        <w:t>2、设备安装后，应按国际标准和厂家标准进行质量验收。</w:t>
      </w:r>
      <w:r w:rsidRPr="00B012A1">
        <w:rPr>
          <w:rFonts w:ascii="宋体" w:cs="宋体" w:hint="eastAsia"/>
          <w:sz w:val="24"/>
          <w:lang w:val="zh-CN"/>
        </w:rPr>
        <w:t>中标人</w:t>
      </w:r>
      <w:r w:rsidRPr="00B012A1">
        <w:rPr>
          <w:rFonts w:ascii="宋体" w:hint="eastAsia"/>
          <w:sz w:val="24"/>
        </w:rPr>
        <w:t>应向采购人</w:t>
      </w:r>
      <w:r w:rsidRPr="00B012A1">
        <w:rPr>
          <w:rFonts w:ascii="宋体" w:hint="eastAsia"/>
          <w:sz w:val="24"/>
        </w:rPr>
        <w:lastRenderedPageBreak/>
        <w:t>（用户）提供验收标准、验收手册和验收工具，并承担相关费用。</w:t>
      </w:r>
    </w:p>
    <w:p w14:paraId="1ECE253B" w14:textId="77777777" w:rsidR="00477771" w:rsidRPr="00B012A1" w:rsidRDefault="00DB08B7">
      <w:pPr>
        <w:spacing w:line="360" w:lineRule="auto"/>
        <w:rPr>
          <w:rFonts w:ascii="宋体"/>
          <w:sz w:val="24"/>
        </w:rPr>
      </w:pPr>
      <w:r w:rsidRPr="00B012A1">
        <w:rPr>
          <w:rFonts w:ascii="宋体" w:hint="eastAsia"/>
          <w:sz w:val="24"/>
        </w:rPr>
        <w:t>3、运输、安装、调试及计量检定（如有）的费用包括在投标总价内。</w:t>
      </w:r>
    </w:p>
    <w:p w14:paraId="657714A2" w14:textId="77777777" w:rsidR="00477771" w:rsidRPr="00B012A1" w:rsidRDefault="00DB08B7">
      <w:pPr>
        <w:spacing w:line="360" w:lineRule="auto"/>
        <w:rPr>
          <w:rFonts w:ascii="宋体"/>
          <w:sz w:val="24"/>
        </w:rPr>
      </w:pPr>
      <w:r w:rsidRPr="00B012A1">
        <w:rPr>
          <w:rFonts w:ascii="宋体" w:hint="eastAsia"/>
          <w:sz w:val="24"/>
        </w:rPr>
        <w:t>4、免费</w:t>
      </w:r>
      <w:r w:rsidRPr="00B012A1">
        <w:rPr>
          <w:rFonts w:ascii="宋体" w:hAnsi="宋体" w:hint="eastAsia"/>
          <w:sz w:val="24"/>
        </w:rPr>
        <w:t>中英文维修手册、操作手册</w:t>
      </w:r>
      <w:r w:rsidRPr="00B012A1">
        <w:rPr>
          <w:rFonts w:ascii="宋体" w:hint="eastAsia"/>
          <w:sz w:val="24"/>
        </w:rPr>
        <w:t>各1套。</w:t>
      </w:r>
    </w:p>
    <w:p w14:paraId="245F80A4" w14:textId="77777777" w:rsidR="00477771" w:rsidRPr="00B012A1" w:rsidRDefault="00DB08B7">
      <w:pPr>
        <w:spacing w:line="360" w:lineRule="auto"/>
        <w:rPr>
          <w:rFonts w:ascii="宋体"/>
          <w:sz w:val="24"/>
        </w:rPr>
      </w:pPr>
      <w:r w:rsidRPr="00B012A1">
        <w:rPr>
          <w:rFonts w:ascii="宋体" w:hint="eastAsia"/>
          <w:sz w:val="24"/>
        </w:rPr>
        <w:t>5、供应商负责对采购人技术人员、操作人员免费</w:t>
      </w:r>
      <w:r w:rsidRPr="00B012A1">
        <w:rPr>
          <w:rFonts w:ascii="宋体" w:cs="宋体" w:hint="eastAsia"/>
          <w:sz w:val="24"/>
          <w:lang w:val="zh-CN"/>
        </w:rPr>
        <w:t>进行仪器的基本操作和</w:t>
      </w:r>
      <w:r w:rsidRPr="00B012A1">
        <w:rPr>
          <w:rFonts w:ascii="宋体" w:hAnsi="宋体" w:cs="宋体" w:hint="eastAsia"/>
          <w:sz w:val="24"/>
        </w:rPr>
        <w:t>维修保养</w:t>
      </w:r>
      <w:r w:rsidRPr="00B012A1">
        <w:rPr>
          <w:rFonts w:ascii="宋体" w:cs="宋体" w:hint="eastAsia"/>
          <w:sz w:val="24"/>
          <w:lang w:val="zh-CN"/>
        </w:rPr>
        <w:t>的培训</w:t>
      </w:r>
      <w:r w:rsidRPr="00B012A1">
        <w:rPr>
          <w:rFonts w:ascii="宋体" w:hint="eastAsia"/>
          <w:sz w:val="24"/>
        </w:rPr>
        <w:t>。必要的培训资料由供应商提供。</w:t>
      </w:r>
    </w:p>
    <w:p w14:paraId="7ED6DBBB" w14:textId="77777777" w:rsidR="00477771" w:rsidRPr="00B012A1" w:rsidRDefault="00DB08B7">
      <w:pPr>
        <w:spacing w:line="360" w:lineRule="auto"/>
        <w:rPr>
          <w:rFonts w:ascii="宋体"/>
          <w:sz w:val="24"/>
        </w:rPr>
      </w:pPr>
      <w:r w:rsidRPr="00B012A1">
        <w:rPr>
          <w:rFonts w:ascii="宋体" w:hint="eastAsia"/>
          <w:sz w:val="24"/>
        </w:rPr>
        <w:t>6、投标文件中应对培训的内容、培训对象、培训时间做出计划。</w:t>
      </w:r>
    </w:p>
    <w:p w14:paraId="13B89211" w14:textId="77777777" w:rsidR="00477771" w:rsidRPr="00B012A1" w:rsidRDefault="00DB08B7">
      <w:pPr>
        <w:spacing w:line="360" w:lineRule="auto"/>
        <w:rPr>
          <w:rFonts w:ascii="宋体"/>
          <w:sz w:val="24"/>
        </w:rPr>
      </w:pPr>
      <w:r w:rsidRPr="00B012A1">
        <w:rPr>
          <w:rFonts w:ascii="宋体" w:hint="eastAsia"/>
          <w:sz w:val="24"/>
        </w:rPr>
        <w:t>7、</w:t>
      </w:r>
      <w:r w:rsidRPr="00B012A1">
        <w:rPr>
          <w:rFonts w:ascii="宋体" w:hAnsi="宋体" w:hint="eastAsia"/>
          <w:sz w:val="24"/>
        </w:rPr>
        <w:t>质量保证期（免费保修期）</w:t>
      </w:r>
      <w:r w:rsidRPr="00B012A1">
        <w:rPr>
          <w:rFonts w:ascii="宋体" w:hint="eastAsia"/>
          <w:sz w:val="24"/>
        </w:rPr>
        <w:t>：</w:t>
      </w:r>
      <w:r w:rsidRPr="00B012A1">
        <w:rPr>
          <w:rFonts w:ascii="宋体" w:hAnsi="宋体" w:cs="宋体" w:hint="eastAsia"/>
          <w:sz w:val="24"/>
        </w:rPr>
        <w:t>设备验收合格后整机保修1年，终身免服务费维修，质保期过后如需维修只收取成本费用，软件终身免费升级。</w:t>
      </w:r>
    </w:p>
    <w:p w14:paraId="62B84694" w14:textId="77777777" w:rsidR="00477771" w:rsidRPr="00B012A1" w:rsidRDefault="00DB08B7">
      <w:pPr>
        <w:spacing w:line="360" w:lineRule="auto"/>
        <w:jc w:val="left"/>
        <w:rPr>
          <w:rFonts w:ascii="宋体" w:hAnsi="宋体" w:cs="宋体"/>
          <w:sz w:val="24"/>
        </w:rPr>
      </w:pPr>
      <w:r w:rsidRPr="00B012A1">
        <w:rPr>
          <w:rFonts w:ascii="宋体" w:hint="eastAsia"/>
          <w:sz w:val="24"/>
        </w:rPr>
        <w:t>8、</w:t>
      </w:r>
      <w:r w:rsidRPr="00B012A1">
        <w:rPr>
          <w:rFonts w:ascii="宋体" w:cs="宋体" w:hint="eastAsia"/>
          <w:sz w:val="24"/>
          <w:lang w:val="zh-CN"/>
        </w:rPr>
        <w:t>维护响应时间：</w:t>
      </w:r>
      <w:r w:rsidRPr="00B012A1">
        <w:rPr>
          <w:rFonts w:cs="宋体" w:hint="eastAsia"/>
          <w:sz w:val="24"/>
        </w:rPr>
        <w:t>接到报修通知后</w:t>
      </w:r>
      <w:r w:rsidRPr="00B012A1">
        <w:rPr>
          <w:sz w:val="24"/>
        </w:rPr>
        <w:t>2</w:t>
      </w:r>
      <w:r w:rsidRPr="00B012A1">
        <w:rPr>
          <w:rFonts w:cs="宋体" w:hint="eastAsia"/>
          <w:sz w:val="24"/>
        </w:rPr>
        <w:t>小时内应答，</w:t>
      </w:r>
      <w:r w:rsidRPr="00B012A1">
        <w:rPr>
          <w:sz w:val="24"/>
        </w:rPr>
        <w:t>24</w:t>
      </w:r>
      <w:r w:rsidRPr="00B012A1">
        <w:rPr>
          <w:rFonts w:cs="宋体" w:hint="eastAsia"/>
          <w:sz w:val="24"/>
        </w:rPr>
        <w:t>小时到达现场。</w:t>
      </w:r>
      <w:r w:rsidRPr="00B012A1">
        <w:rPr>
          <w:rFonts w:ascii="宋体" w:hAnsi="宋体" w:hint="eastAsia"/>
          <w:sz w:val="24"/>
        </w:rPr>
        <w:t>如无法按时修复，</w:t>
      </w:r>
      <w:r w:rsidRPr="00B012A1">
        <w:rPr>
          <w:rFonts w:ascii="宋体" w:hAnsi="宋体" w:cs="宋体" w:hint="eastAsia"/>
          <w:sz w:val="24"/>
        </w:rPr>
        <w:t>供应商应提供应急备用机。</w:t>
      </w:r>
    </w:p>
    <w:p w14:paraId="527878C0" w14:textId="77777777" w:rsidR="00477771" w:rsidRPr="00B012A1" w:rsidRDefault="00DB08B7">
      <w:pPr>
        <w:spacing w:line="360" w:lineRule="auto"/>
        <w:rPr>
          <w:rFonts w:ascii="宋体"/>
          <w:sz w:val="24"/>
        </w:rPr>
      </w:pPr>
      <w:r w:rsidRPr="00B012A1">
        <w:rPr>
          <w:rFonts w:ascii="宋体" w:hint="eastAsia"/>
          <w:sz w:val="24"/>
        </w:rPr>
        <w:t>9、终身免费</w:t>
      </w:r>
      <w:r w:rsidRPr="00B012A1">
        <w:rPr>
          <w:rFonts w:ascii="宋体" w:cs="宋体" w:hint="eastAsia"/>
          <w:sz w:val="24"/>
          <w:lang w:val="zh-CN"/>
        </w:rPr>
        <w:t>提供设备最新信息及应用资料，提供免费升级软件。</w:t>
      </w:r>
    </w:p>
    <w:p w14:paraId="72BD478C" w14:textId="77777777" w:rsidR="00477771" w:rsidRPr="00B012A1" w:rsidRDefault="00477771">
      <w:pPr>
        <w:spacing w:line="360" w:lineRule="auto"/>
        <w:rPr>
          <w:rFonts w:ascii="宋体" w:hAnsi="宋体"/>
          <w:b/>
          <w:bCs/>
          <w:kern w:val="0"/>
          <w:sz w:val="24"/>
        </w:rPr>
      </w:pPr>
    </w:p>
    <w:p w14:paraId="626EB1FB" w14:textId="77777777" w:rsidR="00477771" w:rsidRPr="00B012A1" w:rsidRDefault="00DB08B7">
      <w:pPr>
        <w:spacing w:line="360" w:lineRule="auto"/>
        <w:rPr>
          <w:rFonts w:ascii="宋体" w:hAnsi="宋体"/>
          <w:b/>
          <w:bCs/>
          <w:sz w:val="24"/>
        </w:rPr>
      </w:pPr>
      <w:r w:rsidRPr="00B012A1">
        <w:rPr>
          <w:rFonts w:ascii="宋体" w:hAnsi="宋体" w:hint="eastAsia"/>
          <w:b/>
          <w:bCs/>
          <w:kern w:val="0"/>
          <w:sz w:val="24"/>
        </w:rPr>
        <w:t>五、</w:t>
      </w:r>
      <w:r w:rsidRPr="00B012A1">
        <w:rPr>
          <w:rFonts w:hint="eastAsia"/>
          <w:b/>
          <w:kern w:val="0"/>
          <w:sz w:val="24"/>
        </w:rPr>
        <w:t>投标文件中需提供</w:t>
      </w:r>
      <w:r w:rsidRPr="00B012A1">
        <w:rPr>
          <w:rFonts w:ascii="宋体" w:hAnsi="宋体" w:hint="eastAsia"/>
          <w:b/>
          <w:kern w:val="0"/>
          <w:sz w:val="24"/>
        </w:rPr>
        <w:t>设备样本（彩页）/原厂数据（Datasheet）。</w:t>
      </w:r>
    </w:p>
    <w:p w14:paraId="4BAEC838" w14:textId="77777777" w:rsidR="00477771" w:rsidRPr="00B012A1" w:rsidRDefault="00477771">
      <w:pPr>
        <w:spacing w:line="360" w:lineRule="auto"/>
        <w:rPr>
          <w:rFonts w:ascii="宋体" w:hAnsi="宋体"/>
          <w:sz w:val="24"/>
        </w:rPr>
      </w:pPr>
    </w:p>
    <w:p w14:paraId="0B43E49D" w14:textId="77777777" w:rsidR="00477771" w:rsidRPr="00B012A1" w:rsidRDefault="00477771">
      <w:pPr>
        <w:spacing w:line="360" w:lineRule="auto"/>
        <w:rPr>
          <w:rFonts w:asciiTheme="minorEastAsia" w:eastAsiaTheme="minorEastAsia" w:hAnsiTheme="minorEastAsia"/>
          <w:b/>
          <w:sz w:val="24"/>
        </w:rPr>
      </w:pPr>
    </w:p>
    <w:sectPr w:rsidR="00477771" w:rsidRPr="00B012A1">
      <w:headerReference w:type="default" r:id="rId7"/>
      <w:footerReference w:type="default" r:id="rId8"/>
      <w:endnotePr>
        <w:numFmt w:val="decimal"/>
      </w:endnotePr>
      <w:pgSz w:w="11906" w:h="16838"/>
      <w:pgMar w:top="1440" w:right="1797" w:bottom="1440" w:left="1797" w:header="851"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4821A" w14:textId="77777777" w:rsidR="009D6511" w:rsidRDefault="009D6511">
      <w:r>
        <w:separator/>
      </w:r>
    </w:p>
  </w:endnote>
  <w:endnote w:type="continuationSeparator" w:id="0">
    <w:p w14:paraId="6208D3B3" w14:textId="77777777" w:rsidR="009D6511" w:rsidRDefault="009D6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436F1" w14:textId="77777777" w:rsidR="00477771" w:rsidRDefault="00DB08B7">
    <w:pPr>
      <w:jc w:val="center"/>
    </w:pPr>
    <w:r>
      <w:t>3-</w:t>
    </w:r>
    <w:r>
      <w:fldChar w:fldCharType="begin"/>
    </w:r>
    <w:r>
      <w:instrText xml:space="preserve"> PAGE \* Arabic </w:instrText>
    </w:r>
    <w:r>
      <w:fldChar w:fldCharType="separate"/>
    </w:r>
    <w:r w:rsidR="00AD067A">
      <w:rPr>
        <w:noProof/>
      </w:rPr>
      <w:t>2</w:t>
    </w:r>
    <w:r>
      <w:fldChar w:fldCharType="end"/>
    </w:r>
  </w:p>
  <w:p w14:paraId="7BDC62A9" w14:textId="77777777" w:rsidR="00477771" w:rsidRDefault="004777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DA9B1" w14:textId="77777777" w:rsidR="009D6511" w:rsidRDefault="009D6511">
      <w:r>
        <w:separator/>
      </w:r>
    </w:p>
  </w:footnote>
  <w:footnote w:type="continuationSeparator" w:id="0">
    <w:p w14:paraId="75C3109A" w14:textId="77777777" w:rsidR="009D6511" w:rsidRDefault="009D6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A9AF2" w14:textId="77777777" w:rsidR="00477771" w:rsidRDefault="00DB08B7">
    <w:pPr>
      <w:rPr>
        <w:u w:val="single"/>
      </w:rPr>
    </w:pPr>
    <w:r>
      <w:rPr>
        <w:u w:val="single"/>
      </w:rPr>
      <w:t>招标文件</w:t>
    </w:r>
    <w:r>
      <w:rPr>
        <w:u w:val="single"/>
      </w:rPr>
      <w:t xml:space="preserve">                                                                                                       </w:t>
    </w:r>
    <w:r>
      <w:rPr>
        <w:u w:val="single"/>
      </w:rPr>
      <w:t>第三部分</w:t>
    </w:r>
    <w:r>
      <w:rPr>
        <w:u w:val="single"/>
      </w:rPr>
      <w:t xml:space="preserve">  </w:t>
    </w:r>
    <w:r>
      <w:rPr>
        <w:u w:val="single"/>
      </w:rPr>
      <w:t>技术需求书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defaultTabStop w:val="420"/>
  <w:drawingGridHorizontalSpacing w:val="105"/>
  <w:drawingGridVerticalSpacing w:val="156"/>
  <w:characterSpacingControl w:val="doNotCompress"/>
  <w:footnotePr>
    <w:footnote w:id="-1"/>
    <w:footnote w:id="0"/>
  </w:footnotePr>
  <w:endnotePr>
    <w:numFmt w:val="decimal"/>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6DD"/>
    <w:rsid w:val="000B2ECB"/>
    <w:rsid w:val="000E1FDC"/>
    <w:rsid w:val="000F28DD"/>
    <w:rsid w:val="00184534"/>
    <w:rsid w:val="00186FC3"/>
    <w:rsid w:val="001B3896"/>
    <w:rsid w:val="001D5BB4"/>
    <w:rsid w:val="002151D3"/>
    <w:rsid w:val="00252053"/>
    <w:rsid w:val="00265906"/>
    <w:rsid w:val="00271B54"/>
    <w:rsid w:val="002C6390"/>
    <w:rsid w:val="002F1502"/>
    <w:rsid w:val="00324530"/>
    <w:rsid w:val="00353C9A"/>
    <w:rsid w:val="003B351D"/>
    <w:rsid w:val="0041126C"/>
    <w:rsid w:val="00413784"/>
    <w:rsid w:val="00477771"/>
    <w:rsid w:val="00480AD6"/>
    <w:rsid w:val="004A307A"/>
    <w:rsid w:val="004E181C"/>
    <w:rsid w:val="004F34D3"/>
    <w:rsid w:val="005071A5"/>
    <w:rsid w:val="00556241"/>
    <w:rsid w:val="005A5F06"/>
    <w:rsid w:val="005E0203"/>
    <w:rsid w:val="005F3CFA"/>
    <w:rsid w:val="00612BFF"/>
    <w:rsid w:val="006167F7"/>
    <w:rsid w:val="00773194"/>
    <w:rsid w:val="0082088B"/>
    <w:rsid w:val="00871624"/>
    <w:rsid w:val="00875E58"/>
    <w:rsid w:val="00881170"/>
    <w:rsid w:val="008E45A4"/>
    <w:rsid w:val="00915F46"/>
    <w:rsid w:val="0095328A"/>
    <w:rsid w:val="00956225"/>
    <w:rsid w:val="009632FE"/>
    <w:rsid w:val="00981592"/>
    <w:rsid w:val="00995E31"/>
    <w:rsid w:val="009A7E11"/>
    <w:rsid w:val="009D6511"/>
    <w:rsid w:val="00A2536B"/>
    <w:rsid w:val="00A53068"/>
    <w:rsid w:val="00A60B53"/>
    <w:rsid w:val="00AC2246"/>
    <w:rsid w:val="00AD067A"/>
    <w:rsid w:val="00AF2C43"/>
    <w:rsid w:val="00B012A1"/>
    <w:rsid w:val="00B710CB"/>
    <w:rsid w:val="00BA3DDA"/>
    <w:rsid w:val="00BC437C"/>
    <w:rsid w:val="00BF1493"/>
    <w:rsid w:val="00C139B6"/>
    <w:rsid w:val="00C21999"/>
    <w:rsid w:val="00C22EA1"/>
    <w:rsid w:val="00C31B52"/>
    <w:rsid w:val="00C76C35"/>
    <w:rsid w:val="00CA09E8"/>
    <w:rsid w:val="00CB122F"/>
    <w:rsid w:val="00CC3A94"/>
    <w:rsid w:val="00CE0264"/>
    <w:rsid w:val="00D3583E"/>
    <w:rsid w:val="00DA495C"/>
    <w:rsid w:val="00DB08B7"/>
    <w:rsid w:val="00DF4F4F"/>
    <w:rsid w:val="00E33DE1"/>
    <w:rsid w:val="00E45252"/>
    <w:rsid w:val="00ED4DEB"/>
    <w:rsid w:val="00ED5527"/>
    <w:rsid w:val="00EF1399"/>
    <w:rsid w:val="00F066DD"/>
    <w:rsid w:val="00F143E7"/>
    <w:rsid w:val="00F41DD5"/>
    <w:rsid w:val="00F6758A"/>
    <w:rsid w:val="00FA38FB"/>
    <w:rsid w:val="25184AC7"/>
    <w:rsid w:val="536A43AF"/>
    <w:rsid w:val="76962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4A14D8-07F9-4B4C-8F6C-4EDB0E6A4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1"/>
      <w:sz w:val="21"/>
      <w:szCs w:val="24"/>
    </w:rPr>
  </w:style>
  <w:style w:type="paragraph" w:styleId="1">
    <w:name w:val="heading 1"/>
    <w:next w:val="a"/>
    <w:qFormat/>
    <w:pPr>
      <w:keepNext/>
      <w:keepLines/>
      <w:widowControl w:val="0"/>
      <w:spacing w:before="240" w:after="120" w:line="300" w:lineRule="auto"/>
      <w:jc w:val="center"/>
      <w:outlineLvl w:val="0"/>
    </w:pPr>
    <w:rPr>
      <w:b/>
      <w:bCs/>
      <w:kern w:val="1"/>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qFormat/>
    <w:pPr>
      <w:widowControl w:val="0"/>
      <w:jc w:val="both"/>
    </w:pPr>
    <w:rPr>
      <w:kern w:val="1"/>
      <w:sz w:val="18"/>
      <w:szCs w:val="18"/>
    </w:rPr>
  </w:style>
  <w:style w:type="paragraph" w:styleId="a6">
    <w:name w:val="footer"/>
    <w:qFormat/>
    <w:pPr>
      <w:widowControl w:val="0"/>
      <w:tabs>
        <w:tab w:val="center" w:pos="4153"/>
        <w:tab w:val="right" w:pos="8306"/>
      </w:tabs>
    </w:pPr>
    <w:rPr>
      <w:kern w:val="1"/>
      <w:sz w:val="18"/>
      <w:szCs w:val="18"/>
    </w:rPr>
  </w:style>
  <w:style w:type="paragraph" w:styleId="a7">
    <w:name w:val="header"/>
    <w:qFormat/>
    <w:pPr>
      <w:widowControl w:val="0"/>
      <w:pBdr>
        <w:top w:val="none" w:sz="0" w:space="3" w:color="000000"/>
        <w:left w:val="none" w:sz="0" w:space="3" w:color="000000"/>
        <w:bottom w:val="single" w:sz="6" w:space="1" w:color="000000"/>
        <w:right w:val="none" w:sz="0" w:space="3" w:color="000000"/>
        <w:between w:val="none" w:sz="0" w:space="0" w:color="000000"/>
      </w:pBdr>
      <w:tabs>
        <w:tab w:val="center" w:pos="4153"/>
        <w:tab w:val="right" w:pos="8306"/>
      </w:tabs>
      <w:jc w:val="center"/>
    </w:pPr>
    <w:rPr>
      <w:kern w:val="1"/>
      <w:sz w:val="18"/>
      <w:szCs w:val="18"/>
    </w:rPr>
  </w:style>
  <w:style w:type="paragraph" w:styleId="a8">
    <w:name w:val="Normal (Web)"/>
    <w:qFormat/>
    <w:pPr>
      <w:widowControl w:val="0"/>
      <w:jc w:val="both"/>
    </w:pPr>
    <w:rPr>
      <w:kern w:val="1"/>
      <w:sz w:val="24"/>
      <w:szCs w:val="24"/>
    </w:rPr>
  </w:style>
  <w:style w:type="paragraph" w:styleId="a9">
    <w:name w:val="annotation subject"/>
    <w:basedOn w:val="a3"/>
    <w:next w:val="a3"/>
    <w:link w:val="aa"/>
    <w:uiPriority w:val="99"/>
    <w:semiHidden/>
    <w:unhideWhenUsed/>
    <w:qFormat/>
    <w:rPr>
      <w:b/>
      <w:bCs/>
    </w:rPr>
  </w:style>
  <w:style w:type="character" w:styleId="ab">
    <w:name w:val="annotation reference"/>
    <w:basedOn w:val="a0"/>
    <w:uiPriority w:val="99"/>
    <w:unhideWhenUsed/>
    <w:rPr>
      <w:sz w:val="21"/>
      <w:szCs w:val="21"/>
    </w:rPr>
  </w:style>
  <w:style w:type="paragraph" w:customStyle="1" w:styleId="10">
    <w:name w:val="批注文字1"/>
    <w:qFormat/>
    <w:pPr>
      <w:widowControl w:val="0"/>
    </w:pPr>
    <w:rPr>
      <w:kern w:val="1"/>
      <w:sz w:val="21"/>
      <w:szCs w:val="24"/>
    </w:rPr>
  </w:style>
  <w:style w:type="paragraph" w:customStyle="1" w:styleId="11">
    <w:name w:val="批注主题1"/>
    <w:basedOn w:val="10"/>
    <w:next w:val="10"/>
    <w:qFormat/>
    <w:rPr>
      <w:b/>
      <w:bCs/>
    </w:rPr>
  </w:style>
  <w:style w:type="paragraph" w:customStyle="1" w:styleId="12">
    <w:name w:val="列出段落1"/>
    <w:qFormat/>
    <w:pPr>
      <w:widowControl w:val="0"/>
      <w:ind w:left="720"/>
      <w:contextualSpacing/>
      <w:jc w:val="both"/>
    </w:pPr>
    <w:rPr>
      <w:kern w:val="1"/>
      <w:sz w:val="21"/>
      <w:szCs w:val="24"/>
    </w:rPr>
  </w:style>
  <w:style w:type="paragraph" w:customStyle="1" w:styleId="2">
    <w:name w:val="列出段落2"/>
    <w:qFormat/>
    <w:pPr>
      <w:widowControl w:val="0"/>
      <w:ind w:firstLine="420"/>
      <w:jc w:val="both"/>
    </w:pPr>
    <w:rPr>
      <w:kern w:val="1"/>
      <w:sz w:val="21"/>
      <w:szCs w:val="24"/>
    </w:rPr>
  </w:style>
  <w:style w:type="paragraph" w:customStyle="1" w:styleId="Normal1">
    <w:name w:val="Normal_1"/>
    <w:qFormat/>
    <w:pPr>
      <w:spacing w:before="120" w:after="240"/>
      <w:jc w:val="both"/>
    </w:pPr>
    <w:rPr>
      <w:rFonts w:ascii="Calibri" w:eastAsia="Times New Roman" w:hAnsi="Calibri"/>
      <w:sz w:val="22"/>
      <w:szCs w:val="22"/>
    </w:rPr>
  </w:style>
  <w:style w:type="paragraph" w:styleId="ac">
    <w:name w:val="List Paragraph"/>
    <w:uiPriority w:val="34"/>
    <w:qFormat/>
    <w:pPr>
      <w:widowControl w:val="0"/>
      <w:ind w:firstLine="420"/>
      <w:jc w:val="both"/>
    </w:pPr>
    <w:rPr>
      <w:rFonts w:ascii="Calibri" w:eastAsia="Calibri" w:hAnsi="Calibri"/>
      <w:kern w:val="1"/>
      <w:sz w:val="21"/>
      <w:szCs w:val="22"/>
    </w:rPr>
  </w:style>
  <w:style w:type="paragraph" w:customStyle="1" w:styleId="13">
    <w:name w:val="列表段落1"/>
    <w:qFormat/>
    <w:pPr>
      <w:widowControl w:val="0"/>
      <w:ind w:firstLine="420"/>
      <w:jc w:val="both"/>
    </w:pPr>
    <w:rPr>
      <w:kern w:val="1"/>
      <w:sz w:val="21"/>
      <w:szCs w:val="21"/>
    </w:rPr>
  </w:style>
  <w:style w:type="paragraph" w:customStyle="1" w:styleId="CommentText">
    <w:name w:val="Comment Text"/>
    <w:qFormat/>
    <w:pPr>
      <w:widowControl w:val="0"/>
      <w:jc w:val="both"/>
    </w:pPr>
    <w:rPr>
      <w:kern w:val="1"/>
    </w:rPr>
  </w:style>
  <w:style w:type="paragraph" w:customStyle="1" w:styleId="CommentSubject">
    <w:name w:val="Comment Subject"/>
    <w:qFormat/>
    <w:pPr>
      <w:widowControl w:val="0"/>
      <w:jc w:val="both"/>
    </w:pPr>
    <w:rPr>
      <w:b/>
      <w:bCs/>
      <w:kern w:val="1"/>
      <w:sz w:val="21"/>
      <w:szCs w:val="24"/>
    </w:rPr>
  </w:style>
  <w:style w:type="character" w:customStyle="1" w:styleId="14">
    <w:name w:val="批注引用1"/>
    <w:qFormat/>
    <w:rPr>
      <w:sz w:val="21"/>
      <w:szCs w:val="21"/>
    </w:rPr>
  </w:style>
  <w:style w:type="character" w:customStyle="1" w:styleId="Char">
    <w:name w:val="批注文字 Char"/>
    <w:uiPriority w:val="99"/>
    <w:qFormat/>
  </w:style>
  <w:style w:type="character" w:customStyle="1" w:styleId="Char0">
    <w:name w:val="批注主题 Char"/>
    <w:basedOn w:val="Char"/>
    <w:rPr>
      <w:b/>
      <w:bCs/>
    </w:rPr>
  </w:style>
  <w:style w:type="character" w:customStyle="1" w:styleId="Char1">
    <w:name w:val="批注框文本 Char"/>
    <w:qFormat/>
    <w:rPr>
      <w:sz w:val="18"/>
      <w:szCs w:val="18"/>
    </w:rPr>
  </w:style>
  <w:style w:type="character" w:customStyle="1" w:styleId="Char2">
    <w:name w:val="页眉 Char"/>
    <w:qFormat/>
    <w:rPr>
      <w:sz w:val="18"/>
      <w:szCs w:val="18"/>
    </w:rPr>
  </w:style>
  <w:style w:type="character" w:customStyle="1" w:styleId="Char3">
    <w:name w:val="页脚 Char"/>
    <w:qFormat/>
    <w:rPr>
      <w:sz w:val="18"/>
      <w:szCs w:val="18"/>
    </w:rPr>
  </w:style>
  <w:style w:type="character" w:customStyle="1" w:styleId="param-name">
    <w:name w:val="param-name"/>
    <w:qFormat/>
  </w:style>
  <w:style w:type="character" w:customStyle="1" w:styleId="apple-converted-space">
    <w:name w:val="apple-converted-space"/>
    <w:qFormat/>
  </w:style>
  <w:style w:type="character" w:customStyle="1" w:styleId="1Char">
    <w:name w:val="标题 1 Char"/>
    <w:rPr>
      <w:rFonts w:ascii="Times New Roman" w:eastAsia="宋体" w:hAnsi="Times New Roman" w:cs="Times New Roman"/>
      <w:b/>
      <w:bCs/>
      <w:kern w:val="1"/>
      <w:sz w:val="44"/>
      <w:szCs w:val="44"/>
    </w:rPr>
  </w:style>
  <w:style w:type="character" w:customStyle="1" w:styleId="1Char1">
    <w:name w:val="标题 1 Char1"/>
    <w:rPr>
      <w:rFonts w:ascii="Times New Roman" w:eastAsia="宋体" w:hAnsi="Times New Roman" w:cs="Times New Roman"/>
      <w:b/>
      <w:bCs/>
      <w:kern w:val="1"/>
      <w:sz w:val="44"/>
      <w:szCs w:val="44"/>
      <w:lang w:eastAsia="zh-CN"/>
    </w:rPr>
  </w:style>
  <w:style w:type="character" w:customStyle="1" w:styleId="a4">
    <w:name w:val="批注文字 字符"/>
    <w:basedOn w:val="a0"/>
    <w:link w:val="a3"/>
    <w:uiPriority w:val="99"/>
    <w:semiHidden/>
    <w:qFormat/>
  </w:style>
  <w:style w:type="character" w:customStyle="1" w:styleId="aa">
    <w:name w:val="批注主题 字符"/>
    <w:basedOn w:val="a4"/>
    <w:link w:val="a9"/>
    <w:uiPriority w:val="99"/>
    <w:semiHidden/>
    <w:rPr>
      <w:b/>
      <w:bCs/>
      <w:kern w:val="1"/>
      <w:sz w:val="21"/>
      <w:szCs w:val="24"/>
    </w:rPr>
  </w:style>
  <w:style w:type="character" w:styleId="ad">
    <w:name w:val="Placeholder Text"/>
    <w:basedOn w:val="a0"/>
    <w:uiPriority w:val="99"/>
    <w:semiHidden/>
    <w:qFormat/>
    <w:rPr>
      <w:color w:val="808080"/>
    </w:rPr>
  </w:style>
  <w:style w:type="paragraph" w:customStyle="1" w:styleId="15">
    <w:name w:val="修订1"/>
    <w:hidden/>
    <w:uiPriority w:val="99"/>
    <w:semiHidden/>
    <w:qFormat/>
    <w:rPr>
      <w:kern w:val="1"/>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宋体"/>
        <a:cs typeface="Times New Roman"/>
      </a:majorFont>
      <a:minorFont>
        <a:latin typeface="Times New Roman"/>
        <a:ea typeface="宋体"/>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301</Words>
  <Characters>1719</Characters>
  <Application>Microsoft Office Word</Application>
  <DocSecurity>0</DocSecurity>
  <Lines>14</Lines>
  <Paragraphs>4</Paragraphs>
  <ScaleCrop>false</ScaleCrop>
  <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dc:creator>
  <cp:lastModifiedBy>侯云燕</cp:lastModifiedBy>
  <cp:revision>22</cp:revision>
  <dcterms:created xsi:type="dcterms:W3CDTF">2019-05-29T03:30:00Z</dcterms:created>
  <dcterms:modified xsi:type="dcterms:W3CDTF">2020-04-16T00:55:00Z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